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</w:t>
      </w:r>
      <w:r>
        <w:rPr>
          <w:rFonts w:ascii="Times New Roman CYR" w:hAnsi="Times New Roman CYR" w:cs="Times New Roman CYR"/>
          <w:sz w:val="28"/>
          <w:szCs w:val="28"/>
        </w:rPr>
        <w:t xml:space="preserve">риложение </w:t>
      </w:r>
      <w:r>
        <w:rPr>
          <w:rFonts w:ascii="Times New Roman CYR" w:hAnsi="Times New Roman CYR" w:cs="Times New Roman CYR"/>
          <w:sz w:val="28"/>
          <w:szCs w:val="28"/>
        </w:rPr>
        <w:t xml:space="preserve">2</w:t>
      </w:r>
      <w:r/>
    </w:p>
    <w:p>
      <w:pPr>
        <w:ind w:left="5103" w:firstLine="560"/>
        <w:spacing w:lineRule="auto" w:line="240" w:after="0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ind w:left="5103"/>
        <w:jc w:val="both"/>
        <w:spacing w:lineRule="auto" w:line="240" w:after="0"/>
        <w:widowControl w:val="o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 административному регламенту</w:t>
      </w:r>
      <w:r/>
    </w:p>
    <w:p>
      <w:pPr>
        <w:ind w:left="5103"/>
        <w:jc w:val="both"/>
        <w:spacing w:lineRule="auto" w:line="240" w:after="0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предоставления муниципальной услуги </w:t>
      </w:r>
      <w:r>
        <w:rPr>
          <w:rFonts w:cs="Times New Roman"/>
          <w:bCs/>
          <w:sz w:val="28"/>
          <w:szCs w:val="28"/>
        </w:rPr>
      </w:r>
      <w:r>
        <w:rPr>
          <w:rFonts w:ascii="Times New Roman" w:hAnsi="Times New Roman" w:cs="Times New Roman" w:eastAsia="Times New Roman" w:eastAsiaTheme="minorEastAsia"/>
          <w:b w:val="false"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rFonts w:eastAsiaTheme="minorEastAsia"/>
        </w:rPr>
      </w:r>
      <w:r>
        <w:rPr>
          <w:rFonts w:cs="Times New Roman" w:eastAsiaTheme="minorEastAsia"/>
          <w:bCs/>
          <w:sz w:val="28"/>
          <w:szCs w:val="28"/>
        </w:rPr>
      </w:r>
      <w:r>
        <w:rPr>
          <w:rFonts w:eastAsiaTheme="minorEastAsia"/>
        </w:rPr>
      </w:r>
    </w:p>
    <w:p>
      <w:pPr>
        <w:ind w:left="4820"/>
        <w:jc w:val="both"/>
        <w:spacing w:lineRule="auto" w:line="240" w:after="0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ind w:left="4820"/>
        <w:jc w:val="both"/>
        <w:spacing w:lineRule="auto" w:line="240" w:after="0"/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color w:val="22272F"/>
          <w:sz w:val="28"/>
          <w:szCs w:val="28"/>
        </w:rPr>
      </w:pPr>
      <w:r>
        <w:rPr>
          <w:rFonts w:eastAsiaTheme="minorEastAsia"/>
          <w:color w:val="22272F"/>
          <w:sz w:val="28"/>
          <w:szCs w:val="28"/>
        </w:rPr>
        <w:t xml:space="preserve">Идентификаторы категорий (признаков) заявителей</w:t>
      </w:r>
      <w:r>
        <w:rPr>
          <w:rFonts w:eastAsiaTheme="minorEastAsia"/>
        </w:rPr>
      </w:r>
    </w:p>
    <w:p>
      <w:pPr>
        <w:pStyle w:val="679"/>
        <w:jc w:val="both"/>
      </w:pP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1871"/>
        <w:gridCol w:w="2496"/>
      </w:tblGrid>
      <w:tr>
        <w:trPr/>
        <w:tc>
          <w:tcPr>
            <w:tcW w:w="567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п/п</w:t>
            </w:r>
            <w:r/>
          </w:p>
        </w:tc>
        <w:tc>
          <w:tcPr>
            <w:tcW w:w="4704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отдельных категорий </w:t>
            </w:r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(признаков) Заявителей</w:t>
            </w:r>
            <w:r/>
          </w:p>
        </w:tc>
        <w:tc>
          <w:tcPr>
            <w:tcW w:w="1871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предоставления Услуги</w:t>
            </w:r>
            <w:r/>
          </w:p>
        </w:tc>
        <w:tc>
          <w:tcPr>
            <w:tcW w:w="2496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Идентификатор отдельного признака Заявителя</w:t>
            </w:r>
            <w:r/>
          </w:p>
        </w:tc>
      </w:tr>
      <w:tr>
        <w:trPr>
          <w:trHeight w:val="770"/>
        </w:trPr>
        <w:tc>
          <w:tcPr>
            <w:tcW w:w="567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/>
          </w:p>
        </w:tc>
        <w:tc>
          <w:tcPr>
            <w:tcW w:w="4704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Юридическое лицо, от его имени обращается лицо, имеющее право действовать без доверенности</w:t>
            </w:r>
            <w:r/>
          </w:p>
        </w:tc>
        <w:tc>
          <w:tcPr>
            <w:tcW w:w="1871" w:type="dxa"/>
            <w:vMerge w:val="restart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4"/>
              </w:rPr>
            </w:pPr>
            <w:r>
              <w:rPr>
                <w:color w:val="22272F"/>
                <w:sz w:val="22"/>
                <w:szCs w:val="24"/>
              </w:rPr>
              <w:t xml:space="preserve">Р</w:t>
            </w:r>
            <w:r>
              <w:rPr>
                <w:sz w:val="22"/>
                <w:szCs w:val="24"/>
              </w:rPr>
              <w:t xml:space="preserve">ешение о </w:t>
            </w:r>
            <w:r>
              <w:rPr>
                <w:rFonts w:ascii="Times New Roman" w:hAnsi="Times New Roman" w:cs="Times New Roman" w:eastAsia="Times New Roman" w:eastAsiaTheme="minorEastAsia"/>
                <w:b w:val="false"/>
                <w:sz w:val="22"/>
                <w:szCs w:val="28"/>
              </w:rPr>
              <w:t xml:space="preserve">согласовании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</w:t>
            </w:r>
            <w:r>
              <w:rPr>
                <w:rFonts w:eastAsiaTheme="minorEastAsia"/>
                <w:sz w:val="22"/>
                <w:szCs w:val="24"/>
              </w:rPr>
            </w:r>
            <w:r>
              <w:rPr>
                <w:rFonts w:eastAsiaTheme="minorEastAsia"/>
                <w:sz w:val="22"/>
              </w:rPr>
            </w:r>
          </w:p>
          <w:p>
            <w:pPr>
              <w:pStyle w:val="679"/>
              <w:jc w:val="center"/>
              <w:rPr>
                <w:sz w:val="22"/>
                <w:szCs w:val="24"/>
              </w:rPr>
            </w:pPr>
            <w:r>
              <w:rPr>
                <w:rFonts w:eastAsiaTheme="minorEastAsia"/>
                <w:sz w:val="22"/>
                <w:szCs w:val="24"/>
              </w:rPr>
            </w:r>
            <w:r>
              <w:rPr>
                <w:rFonts w:eastAsiaTheme="minorEastAsia"/>
                <w:sz w:val="22"/>
              </w:rPr>
            </w:r>
          </w:p>
        </w:tc>
        <w:tc>
          <w:tcPr>
            <w:tcW w:w="2496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1А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4704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Юридическое лицо, от его имени обращается уполномоченный представитель</w:t>
            </w:r>
            <w:r/>
          </w:p>
        </w:tc>
        <w:tc>
          <w:tcPr>
            <w:tcW w:w="1871" w:type="dxa"/>
            <w:vMerge w:val="continue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496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2А</w:t>
            </w:r>
            <w:r/>
          </w:p>
        </w:tc>
      </w:tr>
      <w:tr>
        <w:trPr>
          <w:trHeight w:val="668"/>
        </w:trPr>
        <w:tc>
          <w:tcPr>
            <w:tcW w:w="567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W w:w="4704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Физическое лицо, в том числе индивидуальный предприниматель, обращается лично</w:t>
            </w:r>
            <w:r/>
          </w:p>
        </w:tc>
        <w:tc>
          <w:tcPr>
            <w:tcW w:w="1871" w:type="dxa"/>
            <w:vMerge w:val="continue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496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3А</w:t>
            </w:r>
            <w:r/>
          </w:p>
        </w:tc>
      </w:tr>
      <w:tr>
        <w:trPr>
          <w:trHeight w:val="755"/>
        </w:trPr>
        <w:tc>
          <w:tcPr>
            <w:tcW w:w="567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  <w:tc>
          <w:tcPr>
            <w:tcW w:w="4704" w:type="dxa"/>
            <w:textDirection w:val="lrTb"/>
            <w:noWrap w:val="false"/>
          </w:tcPr>
          <w:p>
            <w:pPr>
              <w:pStyle w:val="6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Физическое лицо, в том числе индивидуальный предприниматель, от его имени обращается уполномоченный представитель</w:t>
            </w:r>
            <w:r/>
          </w:p>
        </w:tc>
        <w:tc>
          <w:tcPr>
            <w:tcW w:w="1871" w:type="dxa"/>
            <w:vMerge w:val="continue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496" w:type="dxa"/>
            <w:textDirection w:val="lrTb"/>
            <w:noWrap w:val="false"/>
          </w:tcPr>
          <w:p>
            <w:pPr>
              <w:pStyle w:val="6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4А</w:t>
            </w:r>
            <w:r/>
          </w:p>
        </w:tc>
      </w:tr>
    </w:tbl>
    <w:p>
      <w:pPr>
        <w:jc w:val="center"/>
        <w:spacing w:lineRule="auto" w:line="240" w:after="0"/>
        <w:rPr>
          <w:color w:val="22272F"/>
          <w:sz w:val="28"/>
          <w:szCs w:val="28"/>
        </w:rPr>
      </w:pPr>
      <w:r>
        <w:rPr>
          <w:rFonts w:eastAsiaTheme="minorEastAsia"/>
          <w:color w:val="22272F"/>
          <w:sz w:val="28"/>
          <w:szCs w:val="28"/>
        </w:rPr>
        <w:t xml:space="preserve"> </w:t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color w:val="22272F"/>
          <w:sz w:val="28"/>
          <w:szCs w:val="28"/>
        </w:rPr>
      </w:pPr>
      <w:r>
        <w:rPr>
          <w:rFonts w:eastAsiaTheme="minorEastAsia"/>
          <w:color w:val="22272F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</w:rPr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Начальник управления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/>
        </w:rPr>
      </w:pPr>
      <w:r>
        <w:rPr>
          <w:rFonts w:cs="Times New Roman" w:eastAsiaTheme="minorEastAsia"/>
          <w:sz w:val="28"/>
          <w:szCs w:val="28"/>
        </w:rPr>
        <w:t xml:space="preserve">жилищно-коммунального </w:t>
      </w:r>
      <w:r>
        <w:rPr>
          <w:rFonts w:cs="Times New Roman"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Times New Roman" w:eastAsia="Times New Roman"/>
          <w:lang w:eastAsia="ru-RU"/>
        </w:rPr>
      </w:pPr>
      <w:r>
        <w:rPr>
          <w:rFonts w:cs="Times New Roman" w:eastAsiaTheme="minorEastAsia"/>
          <w:sz w:val="28"/>
          <w:szCs w:val="28"/>
        </w:rPr>
        <w:t xml:space="preserve">хозяйства, транспорта и связи</w:t>
      </w: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                       Ю.Н. Калинин</w:t>
      </w:r>
      <w:r>
        <w:rPr>
          <w:rFonts w:cs="Times New Roman" w:eastAsia="Times New Roman" w:eastAsiaTheme="minorEastAsia"/>
          <w:sz w:val="28"/>
          <w:szCs w:val="28"/>
          <w:lang w:eastAsia="ru-RU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cs="Times New Roman" w:eastAsia="Times New Roman" w:eastAsiaTheme="minorEastAsia"/>
          <w:sz w:val="28"/>
          <w:szCs w:val="28"/>
          <w:lang w:eastAsia="ru-RU"/>
        </w:rPr>
        <w:t xml:space="preserve">                                      </w:t>
      </w: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p>
      <w:pPr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</w:r>
      <w:r>
        <w:rPr>
          <w:rFonts w:eastAsiaTheme="minorEastAsia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6" w:bottom="28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90880425"/>
      <w:docPartObj>
        <w:docPartGallery w:val="Page Numbers (Top of Page)"/>
        <w:docPartUnique w:val="true"/>
      </w:docPartObj>
      <w:rPr/>
    </w:sdtPr>
    <w:sdtContent>
      <w:p>
        <w:pPr>
          <w:pStyle w:val="66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jc w:val="both"/>
        <w:spacing w:lineRule="auto" w:line="276" w:after="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0"/>
    <w:next w:val="66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6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0"/>
    <w:next w:val="66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6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0"/>
    <w:next w:val="66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6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0"/>
    <w:next w:val="66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6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0"/>
    <w:next w:val="66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0"/>
    <w:next w:val="66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0"/>
    <w:next w:val="66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0"/>
    <w:next w:val="66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0"/>
    <w:next w:val="66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60"/>
    <w:next w:val="66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61"/>
    <w:link w:val="32"/>
    <w:uiPriority w:val="10"/>
    <w:rPr>
      <w:sz w:val="48"/>
      <w:szCs w:val="48"/>
    </w:rPr>
  </w:style>
  <w:style w:type="paragraph" w:styleId="34">
    <w:name w:val="Subtitle"/>
    <w:basedOn w:val="660"/>
    <w:next w:val="66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61"/>
    <w:link w:val="34"/>
    <w:uiPriority w:val="11"/>
    <w:rPr>
      <w:sz w:val="24"/>
      <w:szCs w:val="24"/>
    </w:rPr>
  </w:style>
  <w:style w:type="paragraph" w:styleId="36">
    <w:name w:val="Quote"/>
    <w:basedOn w:val="660"/>
    <w:next w:val="66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0"/>
    <w:next w:val="660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1"/>
    <w:link w:val="664"/>
    <w:uiPriority w:val="99"/>
  </w:style>
  <w:style w:type="character" w:styleId="43">
    <w:name w:val="Footer Char"/>
    <w:basedOn w:val="661"/>
    <w:link w:val="666"/>
    <w:uiPriority w:val="99"/>
  </w:style>
  <w:style w:type="paragraph" w:styleId="44">
    <w:name w:val="Caption"/>
    <w:basedOn w:val="660"/>
    <w:next w:val="66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66"/>
    <w:uiPriority w:val="99"/>
  </w:style>
  <w:style w:type="table" w:styleId="47">
    <w:name w:val="Table Grid Light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6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1"/>
    <w:uiPriority w:val="99"/>
    <w:unhideWhenUsed/>
    <w:rPr>
      <w:vertAlign w:val="superscript"/>
    </w:rPr>
  </w:style>
  <w:style w:type="paragraph" w:styleId="176">
    <w:name w:val="endnote text"/>
    <w:basedOn w:val="66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1"/>
    <w:uiPriority w:val="99"/>
    <w:semiHidden/>
    <w:unhideWhenUsed/>
    <w:rPr>
      <w:vertAlign w:val="superscript"/>
    </w:rPr>
  </w:style>
  <w:style w:type="paragraph" w:styleId="179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qFormat/>
    <w:rPr>
      <w:rFonts w:ascii="Times New Roman" w:hAnsi="Times New Roman"/>
      <w:sz w:val="28"/>
    </w:rPr>
    <w:pPr>
      <w:jc w:val="left"/>
      <w:spacing w:after="200"/>
    </w:pPr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paragraph" w:styleId="664">
    <w:name w:val="Header"/>
    <w:basedOn w:val="660"/>
    <w:link w:val="66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5" w:customStyle="1">
    <w:name w:val="Верхний колонтитул Знак"/>
    <w:basedOn w:val="661"/>
    <w:link w:val="664"/>
    <w:uiPriority w:val="99"/>
    <w:rPr>
      <w:rFonts w:ascii="Times New Roman" w:hAnsi="Times New Roman"/>
      <w:sz w:val="28"/>
    </w:rPr>
  </w:style>
  <w:style w:type="paragraph" w:styleId="666">
    <w:name w:val="Footer"/>
    <w:basedOn w:val="660"/>
    <w:link w:val="667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7" w:customStyle="1">
    <w:name w:val="Нижний колонтитул Знак"/>
    <w:basedOn w:val="661"/>
    <w:link w:val="666"/>
    <w:uiPriority w:val="99"/>
    <w:semiHidden/>
    <w:rPr>
      <w:rFonts w:ascii="Times New Roman" w:hAnsi="Times New Roman"/>
      <w:sz w:val="28"/>
    </w:rPr>
  </w:style>
  <w:style w:type="character" w:styleId="668" w:customStyle="1">
    <w:name w:val="blk"/>
    <w:basedOn w:val="661"/>
  </w:style>
  <w:style w:type="paragraph" w:styleId="669">
    <w:name w:val="HTML Preformatted"/>
    <w:basedOn w:val="660"/>
    <w:link w:val="670"/>
    <w:uiPriority w:val="99"/>
    <w:semiHidden/>
    <w:unhideWhenUsed/>
    <w:rPr>
      <w:rFonts w:ascii="Courier New" w:hAnsi="Courier New" w:cs="Courier New" w:eastAsia="Times New Roman"/>
      <w:sz w:val="20"/>
      <w:szCs w:val="20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670" w:customStyle="1">
    <w:name w:val="Стандартный HTML Знак"/>
    <w:basedOn w:val="661"/>
    <w:link w:val="669"/>
    <w:uiPriority w:val="99"/>
    <w:semiHidden/>
    <w:rPr>
      <w:rFonts w:ascii="Courier New" w:hAnsi="Courier New" w:cs="Courier New" w:eastAsia="Times New Roman"/>
      <w:sz w:val="20"/>
      <w:szCs w:val="20"/>
      <w:lang w:eastAsia="ru-RU"/>
    </w:rPr>
  </w:style>
  <w:style w:type="character" w:styleId="671">
    <w:name w:val="HTML Typewriter"/>
    <w:basedOn w:val="661"/>
    <w:uiPriority w:val="99"/>
    <w:semiHidden/>
    <w:unhideWhenUsed/>
    <w:rPr>
      <w:rFonts w:ascii="Courier New" w:hAnsi="Courier New" w:cs="Courier New" w:eastAsia="Times New Roman"/>
      <w:sz w:val="20"/>
      <w:szCs w:val="20"/>
    </w:rPr>
  </w:style>
  <w:style w:type="paragraph" w:styleId="672">
    <w:name w:val="List Paragraph"/>
    <w:basedOn w:val="660"/>
    <w:qFormat/>
    <w:uiPriority w:val="99"/>
    <w:pPr>
      <w:contextualSpacing w:val="true"/>
      <w:ind w:left="720"/>
    </w:pPr>
  </w:style>
  <w:style w:type="paragraph" w:styleId="673">
    <w:name w:val="Balloon Text"/>
    <w:basedOn w:val="660"/>
    <w:link w:val="674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674" w:customStyle="1">
    <w:name w:val="Текст выноски Знак"/>
    <w:basedOn w:val="661"/>
    <w:link w:val="673"/>
    <w:uiPriority w:val="99"/>
    <w:semiHidden/>
    <w:rPr>
      <w:rFonts w:ascii="Segoe UI" w:hAnsi="Segoe UI" w:cs="Segoe UI"/>
      <w:sz w:val="18"/>
      <w:szCs w:val="18"/>
    </w:rPr>
  </w:style>
  <w:style w:type="character" w:styleId="675">
    <w:name w:val="Hyperlink"/>
    <w:uiPriority w:val="99"/>
    <w:rPr>
      <w:color w:val="0000FF"/>
      <w:u w:val="single"/>
    </w:rPr>
  </w:style>
  <w:style w:type="paragraph" w:styleId="676">
    <w:name w:val="Normal (Web)"/>
    <w:basedOn w:val="660"/>
    <w:uiPriority w:val="99"/>
    <w:unhideWhenUsed/>
    <w:rPr>
      <w:rFonts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677" w:customStyle="1">
    <w:name w:val="Символы концевой сноски"/>
    <w:rPr>
      <w:vertAlign w:val="superscript"/>
    </w:rPr>
  </w:style>
  <w:style w:type="table" w:styleId="678">
    <w:name w:val="Table Grid"/>
    <w:basedOn w:val="662"/>
    <w:uiPriority w:val="59"/>
    <w:pPr>
      <w:spacing w:lineRule="auto" w:line="24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679" w:customStyle="1">
    <w:name w:val="ConsPlusNormal"/>
    <w:rPr>
      <w:rFonts w:ascii="Times New Roman" w:hAnsi="Times New Roman" w:cs="Times New Roman" w:eastAsia="Times New Roman"/>
      <w:sz w:val="24"/>
      <w:szCs w:val="20"/>
      <w:lang w:eastAsia="ru-RU"/>
    </w:rPr>
    <w:pPr>
      <w:jc w:val="left"/>
      <w:spacing w:lineRule="auto" w:line="240"/>
      <w:widowControl w:val="off"/>
    </w:pPr>
  </w:style>
  <w:style w:type="paragraph" w:styleId="680" w:customStyle="1">
    <w:name w:val="ConsPlusTitle"/>
    <w:rPr>
      <w:rFonts w:ascii="Arial" w:hAnsi="Arial" w:cs="Arial" w:eastAsia="Times New Roman"/>
      <w:b/>
      <w:sz w:val="24"/>
      <w:szCs w:val="20"/>
      <w:lang w:eastAsia="ru-RU"/>
    </w:rPr>
    <w:pPr>
      <w:jc w:val="left"/>
      <w:spacing w:lineRule="auto" w:line="240"/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5</cp:revision>
  <dcterms:created xsi:type="dcterms:W3CDTF">2025-11-17T10:47:00Z</dcterms:created>
  <dcterms:modified xsi:type="dcterms:W3CDTF">2026-03-17T14:47:06Z</dcterms:modified>
</cp:coreProperties>
</file>